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0F" w:rsidRDefault="0092626A">
      <w:pPr>
        <w:spacing w:after="57" w:line="259" w:lineRule="auto"/>
        <w:ind w:left="338"/>
        <w:jc w:val="center"/>
      </w:pPr>
      <w:proofErr w:type="spellStart"/>
      <w:r>
        <w:rPr>
          <w:b/>
        </w:rPr>
        <w:t>Condiții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eligibilitate</w:t>
      </w:r>
      <w:proofErr w:type="spellEnd"/>
      <w:r>
        <w:rPr>
          <w:b/>
        </w:rPr>
        <w:t xml:space="preserve"> GICS </w:t>
      </w:r>
    </w:p>
    <w:p w:rsidR="0045140F" w:rsidRDefault="0092626A">
      <w:pPr>
        <w:spacing w:after="107" w:line="259" w:lineRule="auto"/>
        <w:ind w:left="332" w:firstLine="0"/>
        <w:jc w:val="left"/>
      </w:pPr>
      <w:r>
        <w:t xml:space="preserve"> </w:t>
      </w:r>
    </w:p>
    <w:p w:rsidR="0045140F" w:rsidRDefault="0092626A">
      <w:pPr>
        <w:ind w:left="692" w:hanging="36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derulare</w:t>
      </w:r>
      <w:proofErr w:type="spellEnd"/>
      <w:r>
        <w:t xml:space="preserve"> a </w:t>
      </w:r>
      <w:proofErr w:type="spellStart"/>
      <w:r>
        <w:t>granturilor</w:t>
      </w:r>
      <w:proofErr w:type="spellEnd"/>
      <w:r>
        <w:t xml:space="preserve"> interne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 xml:space="preserve"> (</w:t>
      </w:r>
      <w:proofErr w:type="spellStart"/>
      <w:r>
        <w:t>Capitolul</w:t>
      </w:r>
      <w:proofErr w:type="spellEnd"/>
      <w:r>
        <w:t xml:space="preserve"> II.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, </w:t>
      </w:r>
      <w:proofErr w:type="spellStart"/>
      <w:r>
        <w:t>pagina</w:t>
      </w:r>
      <w:proofErr w:type="spellEnd"/>
      <w:r>
        <w:t xml:space="preserve"> 3),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: </w:t>
      </w:r>
    </w:p>
    <w:p w:rsidR="0045140F" w:rsidRDefault="0092626A">
      <w:pPr>
        <w:numPr>
          <w:ilvl w:val="0"/>
          <w:numId w:val="1"/>
        </w:numPr>
        <w:ind w:right="95" w:hanging="360"/>
      </w:pPr>
      <w:proofErr w:type="spellStart"/>
      <w:r>
        <w:t>activități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;  </w:t>
      </w:r>
    </w:p>
    <w:p w:rsidR="0045140F" w:rsidRDefault="0092626A">
      <w:pPr>
        <w:numPr>
          <w:ilvl w:val="0"/>
          <w:numId w:val="1"/>
        </w:numPr>
        <w:ind w:right="95" w:hanging="360"/>
      </w:pPr>
      <w:proofErr w:type="spellStart"/>
      <w:r>
        <w:t>achiz</w:t>
      </w:r>
      <w:r>
        <w:t>iții</w:t>
      </w:r>
      <w:proofErr w:type="spellEnd"/>
      <w:r>
        <w:t xml:space="preserve"> de </w:t>
      </w:r>
      <w:proofErr w:type="spellStart"/>
      <w:r>
        <w:t>materiale</w:t>
      </w:r>
      <w:proofErr w:type="spellEnd"/>
      <w:r>
        <w:t xml:space="preserve">, </w:t>
      </w:r>
      <w:proofErr w:type="spellStart"/>
      <w:r>
        <w:t>cărți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obiecte</w:t>
      </w:r>
      <w:proofErr w:type="spellEnd"/>
      <w:r>
        <w:t xml:space="preserve"> de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cercetare</w:t>
      </w:r>
      <w:proofErr w:type="spellEnd"/>
      <w:r>
        <w:t xml:space="preserve">;  </w:t>
      </w:r>
    </w:p>
    <w:p w:rsidR="0045140F" w:rsidRDefault="0092626A">
      <w:pPr>
        <w:numPr>
          <w:ilvl w:val="0"/>
          <w:numId w:val="1"/>
        </w:numPr>
        <w:spacing w:after="6"/>
        <w:ind w:right="95" w:hanging="360"/>
      </w:pPr>
      <w:proofErr w:type="spellStart"/>
      <w:proofErr w:type="gramStart"/>
      <w:r>
        <w:t>participări</w:t>
      </w:r>
      <w:proofErr w:type="spellEnd"/>
      <w:proofErr w:type="gramEnd"/>
      <w:r>
        <w:t xml:space="preserve"> la </w:t>
      </w:r>
      <w:proofErr w:type="spellStart"/>
      <w:r>
        <w:t>manifestările</w:t>
      </w:r>
      <w:proofErr w:type="spellEnd"/>
      <w:r>
        <w:t xml:space="preserve"> </w:t>
      </w:r>
      <w:proofErr w:type="spellStart"/>
      <w:r>
        <w:t>științifice</w:t>
      </w:r>
      <w:proofErr w:type="spellEnd"/>
      <w:r>
        <w:t xml:space="preserve">.  </w:t>
      </w:r>
    </w:p>
    <w:p w:rsidR="0045140F" w:rsidRDefault="0092626A">
      <w:pPr>
        <w:spacing w:after="66" w:line="259" w:lineRule="auto"/>
        <w:ind w:left="615" w:firstLine="0"/>
        <w:jc w:val="left"/>
      </w:pPr>
      <w:r>
        <w:t xml:space="preserve"> </w:t>
      </w:r>
    </w:p>
    <w:p w:rsidR="0045140F" w:rsidRDefault="0092626A">
      <w:pPr>
        <w:numPr>
          <w:ilvl w:val="1"/>
          <w:numId w:val="1"/>
        </w:numPr>
        <w:spacing w:after="197"/>
        <w:ind w:right="95" w:hanging="360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derulare</w:t>
      </w:r>
      <w:proofErr w:type="spellEnd"/>
      <w:r>
        <w:t xml:space="preserve"> a </w:t>
      </w:r>
      <w:proofErr w:type="spellStart"/>
      <w:r>
        <w:t>granturilor</w:t>
      </w:r>
      <w:proofErr w:type="spellEnd"/>
      <w:r>
        <w:t xml:space="preserve"> interne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 xml:space="preserve"> (</w:t>
      </w:r>
      <w:proofErr w:type="spellStart"/>
      <w:r>
        <w:t>Capitolul</w:t>
      </w:r>
      <w:proofErr w:type="spellEnd"/>
      <w:r>
        <w:t xml:space="preserve"> II.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, </w:t>
      </w:r>
      <w:proofErr w:type="spellStart"/>
      <w:r>
        <w:t>pagina</w:t>
      </w:r>
      <w:proofErr w:type="spellEnd"/>
      <w:r>
        <w:t xml:space="preserve"> 3),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GICS:  </w:t>
      </w:r>
    </w:p>
    <w:p w:rsidR="0045140F" w:rsidRDefault="0092626A">
      <w:pPr>
        <w:numPr>
          <w:ilvl w:val="0"/>
          <w:numId w:val="1"/>
        </w:numPr>
        <w:ind w:right="95" w:hanging="360"/>
      </w:pPr>
      <w:proofErr w:type="spellStart"/>
      <w:r>
        <w:t>cheltuieli</w:t>
      </w:r>
      <w:proofErr w:type="spellEnd"/>
      <w:r>
        <w:t xml:space="preserve"> de personal: </w:t>
      </w:r>
      <w:proofErr w:type="spellStart"/>
      <w:r>
        <w:t>salarii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, </w:t>
      </w:r>
      <w:proofErr w:type="spellStart"/>
      <w:r>
        <w:t>contribuția</w:t>
      </w:r>
      <w:proofErr w:type="spellEnd"/>
      <w:r>
        <w:t xml:space="preserve"> de </w:t>
      </w:r>
      <w:proofErr w:type="spellStart"/>
      <w:r>
        <w:t>asigurări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contribuții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deplasări</w:t>
      </w:r>
      <w:proofErr w:type="spellEnd"/>
      <w:r>
        <w:t xml:space="preserve"> inte</w:t>
      </w:r>
      <w:r>
        <w:t xml:space="preserve">rne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rPr>
          <w:rFonts w:ascii="Calibri" w:eastAsia="Calibri" w:hAnsi="Calibri" w:cs="Calibri"/>
        </w:rPr>
        <w:t xml:space="preserve"> </w:t>
      </w:r>
      <w:r>
        <w:t>(</w:t>
      </w:r>
      <w:r>
        <w:rPr>
          <w:b/>
          <w:i/>
        </w:rPr>
        <w:t xml:space="preserve">maxim 25% din </w:t>
      </w:r>
      <w:proofErr w:type="spellStart"/>
      <w:r>
        <w:rPr>
          <w:b/>
          <w:i/>
        </w:rPr>
        <w:t>valoare</w:t>
      </w:r>
      <w:proofErr w:type="spellEnd"/>
      <w:r>
        <w:rPr>
          <w:b/>
          <w:i/>
        </w:rPr>
        <w:t xml:space="preserve"> </w:t>
      </w:r>
      <w:r>
        <w:rPr>
          <w:b/>
        </w:rPr>
        <w:t>GICS</w:t>
      </w:r>
      <w:r>
        <w:rPr>
          <w:i/>
        </w:rPr>
        <w:t>);</w:t>
      </w:r>
      <w:r>
        <w:rPr>
          <w:b/>
          <w:i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45140F" w:rsidRDefault="0092626A">
      <w:pPr>
        <w:numPr>
          <w:ilvl w:val="0"/>
          <w:numId w:val="1"/>
        </w:numPr>
        <w:ind w:right="95" w:hanging="360"/>
      </w:pPr>
      <w:proofErr w:type="spellStart"/>
      <w:r>
        <w:t>cheltuieli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prestări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funcțional</w:t>
      </w:r>
      <w:proofErr w:type="spellEnd"/>
      <w:r>
        <w:t xml:space="preserve">, </w:t>
      </w:r>
      <w:proofErr w:type="spellStart"/>
      <w:r>
        <w:t>obiecte</w:t>
      </w:r>
      <w:proofErr w:type="spellEnd"/>
      <w:r>
        <w:t xml:space="preserve"> de </w:t>
      </w:r>
      <w:proofErr w:type="spellStart"/>
      <w:r>
        <w:t>inventar</w:t>
      </w:r>
      <w:proofErr w:type="spellEnd"/>
      <w:r>
        <w:t xml:space="preserve">, </w:t>
      </w:r>
      <w:proofErr w:type="spellStart"/>
      <w:r>
        <w:t>reparații</w:t>
      </w:r>
      <w:proofErr w:type="spellEnd"/>
      <w:r>
        <w:t xml:space="preserve"> </w:t>
      </w:r>
      <w:proofErr w:type="spellStart"/>
      <w:r>
        <w:t>echipamente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, </w:t>
      </w:r>
      <w:proofErr w:type="spellStart"/>
      <w:r>
        <w:t>cărți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publicații</w:t>
      </w:r>
      <w:proofErr w:type="spellEnd"/>
      <w:r>
        <w:t xml:space="preserve">, </w:t>
      </w:r>
      <w:proofErr w:type="spellStart"/>
      <w:r>
        <w:t>perfecționarea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, protocol,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;  </w:t>
      </w:r>
    </w:p>
    <w:p w:rsidR="0045140F" w:rsidRDefault="0092626A">
      <w:pPr>
        <w:numPr>
          <w:ilvl w:val="0"/>
          <w:numId w:val="1"/>
        </w:numPr>
        <w:spacing w:after="59"/>
        <w:ind w:right="95" w:hanging="360"/>
      </w:pPr>
      <w:proofErr w:type="spellStart"/>
      <w:r>
        <w:t>cheltuieli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de </w:t>
      </w:r>
      <w:proofErr w:type="spellStart"/>
      <w:r>
        <w:t>publicare</w:t>
      </w:r>
      <w:proofErr w:type="spellEnd"/>
      <w:r>
        <w:t xml:space="preserve"> a </w:t>
      </w:r>
      <w:proofErr w:type="spellStart"/>
      <w:r>
        <w:t>articolelor</w:t>
      </w:r>
      <w:proofErr w:type="spellEnd"/>
      <w:r>
        <w:t xml:space="preserve"> </w:t>
      </w:r>
      <w:proofErr w:type="spellStart"/>
      <w:r>
        <w:t>științifice</w:t>
      </w:r>
      <w:proofErr w:type="spellEnd"/>
      <w:r>
        <w:t xml:space="preserve">,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manifestări</w:t>
      </w:r>
      <w:proofErr w:type="spellEnd"/>
      <w:r>
        <w:t xml:space="preserve"> </w:t>
      </w:r>
      <w:proofErr w:type="spellStart"/>
      <w:r>
        <w:t>științifice</w:t>
      </w:r>
      <w:proofErr w:type="spellEnd"/>
      <w:r>
        <w:t xml:space="preserve">;  </w:t>
      </w:r>
    </w:p>
    <w:p w:rsidR="0045140F" w:rsidRDefault="0092626A">
      <w:pPr>
        <w:numPr>
          <w:ilvl w:val="0"/>
          <w:numId w:val="1"/>
        </w:numPr>
        <w:spacing w:after="0"/>
        <w:ind w:right="95" w:hanging="360"/>
      </w:pPr>
      <w:proofErr w:type="gramStart"/>
      <w:r>
        <w:t>nu</w:t>
      </w:r>
      <w:proofErr w:type="gram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de capital (</w:t>
      </w:r>
      <w:proofErr w:type="spellStart"/>
      <w:r>
        <w:t>echipamente</w:t>
      </w:r>
      <w:proofErr w:type="spellEnd"/>
      <w:r>
        <w:t xml:space="preserve">, </w:t>
      </w:r>
      <w:proofErr w:type="spellStart"/>
      <w:r>
        <w:t>licențe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dotări</w:t>
      </w:r>
      <w:proofErr w:type="spellEnd"/>
      <w:r>
        <w:t xml:space="preserve">).  </w:t>
      </w:r>
    </w:p>
    <w:p w:rsidR="0045140F" w:rsidRDefault="0092626A">
      <w:pPr>
        <w:spacing w:after="107" w:line="259" w:lineRule="auto"/>
        <w:ind w:left="34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45140F" w:rsidRDefault="0092626A">
      <w:pPr>
        <w:numPr>
          <w:ilvl w:val="1"/>
          <w:numId w:val="1"/>
        </w:numPr>
        <w:ind w:right="95" w:hanging="360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derulare</w:t>
      </w:r>
      <w:proofErr w:type="spellEnd"/>
      <w:r>
        <w:t xml:space="preserve"> a </w:t>
      </w:r>
      <w:proofErr w:type="spellStart"/>
      <w:r>
        <w:t>granturilor</w:t>
      </w:r>
      <w:proofErr w:type="spellEnd"/>
      <w:r>
        <w:t xml:space="preserve"> interne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 xml:space="preserve"> (</w:t>
      </w:r>
      <w:proofErr w:type="spellStart"/>
      <w:r>
        <w:t>Capitolul</w:t>
      </w:r>
      <w:proofErr w:type="spellEnd"/>
      <w:r>
        <w:t xml:space="preserve"> III. </w:t>
      </w:r>
      <w:proofErr w:type="spellStart"/>
      <w:r>
        <w:t>Echipa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, </w:t>
      </w:r>
      <w:proofErr w:type="spellStart"/>
      <w:r>
        <w:t>pagina</w:t>
      </w:r>
      <w:proofErr w:type="spellEnd"/>
      <w:r>
        <w:t xml:space="preserve"> 4</w:t>
      </w:r>
      <w:r>
        <w:t>):</w:t>
      </w:r>
      <w:r>
        <w:rPr>
          <w:b/>
          <w:sz w:val="26"/>
        </w:rPr>
        <w:t xml:space="preserve"> </w:t>
      </w:r>
    </w:p>
    <w:p w:rsidR="0045140F" w:rsidRDefault="0092626A">
      <w:pPr>
        <w:spacing w:after="62" w:line="259" w:lineRule="auto"/>
        <w:ind w:left="402" w:firstLine="0"/>
        <w:jc w:val="center"/>
      </w:pPr>
      <w:r>
        <w:rPr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45140F" w:rsidRDefault="0092626A">
      <w:pPr>
        <w:numPr>
          <w:ilvl w:val="0"/>
          <w:numId w:val="1"/>
        </w:numPr>
        <w:spacing w:after="10" w:line="259" w:lineRule="auto"/>
        <w:ind w:right="95" w:hanging="360"/>
      </w:pPr>
      <w:proofErr w:type="spellStart"/>
      <w:r>
        <w:t>Echipa</w:t>
      </w:r>
      <w:proofErr w:type="spellEnd"/>
      <w:r>
        <w:t xml:space="preserve"> GICS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</w:t>
      </w:r>
      <w:r>
        <w:rPr>
          <w:b/>
        </w:rPr>
        <w:t xml:space="preserve">minim de 5 cadre </w:t>
      </w:r>
      <w:proofErr w:type="spellStart"/>
      <w:r>
        <w:rPr>
          <w:b/>
        </w:rPr>
        <w:t>didactice</w:t>
      </w:r>
      <w:proofErr w:type="spellEnd"/>
      <w:r>
        <w:t xml:space="preserve">, </w:t>
      </w:r>
      <w:proofErr w:type="spellStart"/>
      <w:r>
        <w:rPr>
          <w:b/>
        </w:rPr>
        <w:t>coordonate</w:t>
      </w:r>
      <w:proofErr w:type="spellEnd"/>
      <w:r>
        <w:rPr>
          <w:b/>
        </w:rPr>
        <w:t xml:space="preserve"> de un director </w:t>
      </w:r>
    </w:p>
    <w:p w:rsidR="0045140F" w:rsidRDefault="0092626A">
      <w:pPr>
        <w:spacing w:after="25" w:line="259" w:lineRule="auto"/>
        <w:ind w:left="615" w:firstLine="0"/>
        <w:jc w:val="left"/>
      </w:pPr>
      <w:r>
        <w:rPr>
          <w:b/>
        </w:rPr>
        <w:t>GI</w:t>
      </w:r>
      <w:r>
        <w:rPr>
          <w:b/>
        </w:rPr>
        <w:t>CS</w:t>
      </w:r>
      <w:r>
        <w:t>, (</w:t>
      </w:r>
      <w:r>
        <w:rPr>
          <w:b/>
        </w:rPr>
        <w:t xml:space="preserve">minim 1 </w:t>
      </w:r>
      <w:proofErr w:type="spellStart"/>
      <w:r>
        <w:rPr>
          <w:b/>
        </w:rPr>
        <w:t>membru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vârsta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egală</w:t>
      </w:r>
      <w:proofErr w:type="spellEnd"/>
      <w:r>
        <w:rPr>
          <w:b/>
        </w:rPr>
        <w:t xml:space="preserve"> cu </w:t>
      </w:r>
      <w:proofErr w:type="gramStart"/>
      <w:r>
        <w:rPr>
          <w:b/>
        </w:rPr>
        <w:t>45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ani</w:t>
      </w:r>
      <w:proofErr w:type="spellEnd"/>
      <w:r>
        <w:t xml:space="preserve">) care </w:t>
      </w:r>
      <w:proofErr w:type="spellStart"/>
      <w:r>
        <w:t>îndeplinesc</w:t>
      </w:r>
      <w:proofErr w:type="spellEnd"/>
      <w:r>
        <w:t xml:space="preserve"> cumulative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:  </w:t>
      </w:r>
    </w:p>
    <w:p w:rsidR="0045140F" w:rsidRDefault="0092626A">
      <w:pPr>
        <w:numPr>
          <w:ilvl w:val="2"/>
          <w:numId w:val="2"/>
        </w:numPr>
        <w:ind w:right="95" w:hanging="36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directorul</w:t>
      </w:r>
      <w:proofErr w:type="spellEnd"/>
      <w:r>
        <w:t xml:space="preserve"> GICS media </w:t>
      </w:r>
      <w:proofErr w:type="spellStart"/>
      <w:r>
        <w:t>numărului</w:t>
      </w:r>
      <w:proofErr w:type="spellEnd"/>
      <w:r>
        <w:t xml:space="preserve"> de ore </w:t>
      </w:r>
      <w:proofErr w:type="spellStart"/>
      <w:r>
        <w:t>raportate</w:t>
      </w:r>
      <w:proofErr w:type="spellEnd"/>
      <w:r>
        <w:t xml:space="preserve"> la </w:t>
      </w:r>
      <w:proofErr w:type="spellStart"/>
      <w:r>
        <w:t>cercetare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3 </w:t>
      </w:r>
      <w:proofErr w:type="spellStart"/>
      <w:r>
        <w:t>ani</w:t>
      </w:r>
      <w:proofErr w:type="spellEnd"/>
      <w:r>
        <w:t xml:space="preserve"> </w:t>
      </w:r>
      <w:proofErr w:type="spellStart"/>
      <w:r>
        <w:t>anteriori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GICS,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6</w:t>
      </w:r>
      <w:r>
        <w:t>00 (</w:t>
      </w:r>
      <w:proofErr w:type="spellStart"/>
      <w:r>
        <w:t>exceptie</w:t>
      </w:r>
      <w:proofErr w:type="spellEnd"/>
      <w:r>
        <w:t xml:space="preserve">: </w:t>
      </w:r>
      <w:proofErr w:type="spellStart"/>
      <w:r>
        <w:t>asistenti</w:t>
      </w:r>
      <w:proofErr w:type="spellEnd"/>
      <w:r>
        <w:t xml:space="preserve"> </w:t>
      </w:r>
      <w:proofErr w:type="spellStart"/>
      <w:r>
        <w:t>universitari</w:t>
      </w:r>
      <w:proofErr w:type="spellEnd"/>
      <w:r>
        <w:t xml:space="preserve">).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cadrele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didactice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gradul</w:t>
      </w:r>
      <w:proofErr w:type="spellEnd"/>
      <w:r>
        <w:rPr>
          <w:sz w:val="23"/>
          <w:szCs w:val="23"/>
        </w:rPr>
        <w:t xml:space="preserve"> didactic de </w:t>
      </w:r>
      <w:proofErr w:type="spellStart"/>
      <w:r>
        <w:rPr>
          <w:sz w:val="23"/>
          <w:szCs w:val="23"/>
        </w:rPr>
        <w:t>șef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lucrări</w:t>
      </w:r>
      <w:proofErr w:type="spellEnd"/>
      <w:r>
        <w:rPr>
          <w:sz w:val="23"/>
          <w:szCs w:val="23"/>
        </w:rPr>
        <w:t xml:space="preserve"> / lector, </w:t>
      </w:r>
      <w:proofErr w:type="spellStart"/>
      <w:r>
        <w:rPr>
          <w:sz w:val="23"/>
          <w:szCs w:val="23"/>
        </w:rPr>
        <w:t>conferențiar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angajate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universitate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ultimii</w:t>
      </w:r>
      <w:proofErr w:type="spellEnd"/>
      <w:r>
        <w:rPr>
          <w:sz w:val="23"/>
          <w:szCs w:val="23"/>
        </w:rPr>
        <w:t xml:space="preserve"> 3 </w:t>
      </w:r>
      <w:proofErr w:type="spellStart"/>
      <w:r>
        <w:rPr>
          <w:sz w:val="23"/>
          <w:szCs w:val="23"/>
        </w:rPr>
        <w:t>ani</w:t>
      </w:r>
      <w:proofErr w:type="spellEnd"/>
      <w:r>
        <w:rPr>
          <w:sz w:val="23"/>
          <w:szCs w:val="23"/>
        </w:rPr>
        <w:t xml:space="preserve">, media </w:t>
      </w:r>
      <w:proofErr w:type="spellStart"/>
      <w:r>
        <w:rPr>
          <w:sz w:val="23"/>
          <w:szCs w:val="23"/>
        </w:rPr>
        <w:t>numărului</w:t>
      </w:r>
      <w:proofErr w:type="spellEnd"/>
      <w:r>
        <w:rPr>
          <w:sz w:val="23"/>
          <w:szCs w:val="23"/>
        </w:rPr>
        <w:t xml:space="preserve"> de ore </w:t>
      </w:r>
      <w:proofErr w:type="spellStart"/>
      <w:r>
        <w:rPr>
          <w:sz w:val="23"/>
          <w:szCs w:val="23"/>
        </w:rPr>
        <w:t>raportate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cercetare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proporțional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perioada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scursă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angajarea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universitate</w:t>
      </w:r>
      <w:proofErr w:type="spellEnd"/>
      <w:r>
        <w:rPr>
          <w:sz w:val="23"/>
          <w:szCs w:val="23"/>
        </w:rPr>
        <w:t xml:space="preserve">. </w:t>
      </w:r>
      <w:r>
        <w:t xml:space="preserve">  </w:t>
      </w:r>
    </w:p>
    <w:p w:rsidR="0045140F" w:rsidRDefault="0092626A">
      <w:pPr>
        <w:numPr>
          <w:ilvl w:val="2"/>
          <w:numId w:val="2"/>
        </w:numPr>
        <w:ind w:right="95" w:hanging="360"/>
      </w:pPr>
      <w:proofErr w:type="spellStart"/>
      <w:r>
        <w:t>sunt</w:t>
      </w:r>
      <w:proofErr w:type="spellEnd"/>
      <w:r>
        <w:t xml:space="preserve"> cadre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titulare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UPG (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excepție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maximum 2 </w:t>
      </w:r>
      <w:r>
        <w:t>cadre</w:t>
      </w:r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);  </w:t>
      </w:r>
    </w:p>
    <w:p w:rsidR="0045140F" w:rsidRDefault="0092626A">
      <w:pPr>
        <w:numPr>
          <w:ilvl w:val="2"/>
          <w:numId w:val="2"/>
        </w:numPr>
        <w:ind w:right="95" w:hanging="360"/>
      </w:pPr>
      <w:proofErr w:type="spellStart"/>
      <w:proofErr w:type="gramStart"/>
      <w:r>
        <w:t>cadrele</w:t>
      </w:r>
      <w:proofErr w:type="spellEnd"/>
      <w:proofErr w:type="gramEnd"/>
      <w:r>
        <w:t xml:space="preserve"> </w:t>
      </w:r>
      <w:proofErr w:type="spellStart"/>
      <w:r>
        <w:t>didactice</w:t>
      </w:r>
      <w:proofErr w:type="spellEnd"/>
      <w:r>
        <w:t xml:space="preserve"> care au </w:t>
      </w:r>
      <w:proofErr w:type="spellStart"/>
      <w:r>
        <w:t>deținut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de director de </w:t>
      </w:r>
      <w:r>
        <w:rPr>
          <w:b/>
        </w:rPr>
        <w:t xml:space="preserve">GICS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anterior nu </w:t>
      </w:r>
      <w:proofErr w:type="spellStart"/>
      <w:r>
        <w:t>mai</w:t>
      </w:r>
      <w:proofErr w:type="spellEnd"/>
      <w:r>
        <w:t xml:space="preserve"> pot </w:t>
      </w:r>
      <w:proofErr w:type="spellStart"/>
      <w:r>
        <w:t>dep</w:t>
      </w:r>
      <w:r>
        <w:t>une</w:t>
      </w:r>
      <w:proofErr w:type="spellEnd"/>
      <w:r>
        <w:t xml:space="preserve"> alt </w:t>
      </w:r>
      <w:r>
        <w:rPr>
          <w:b/>
        </w:rPr>
        <w:t>GICS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curent</w:t>
      </w:r>
      <w:proofErr w:type="spellEnd"/>
      <w:r>
        <w:t xml:space="preserve">.  </w:t>
      </w:r>
    </w:p>
    <w:p w:rsidR="0045140F" w:rsidRDefault="0092626A">
      <w:pPr>
        <w:numPr>
          <w:ilvl w:val="0"/>
          <w:numId w:val="1"/>
        </w:numPr>
        <w:spacing w:after="40"/>
        <w:ind w:right="95" w:hanging="360"/>
      </w:pPr>
      <w:proofErr w:type="spellStart"/>
      <w:r>
        <w:lastRenderedPageBreak/>
        <w:t>Directorul</w:t>
      </w:r>
      <w:proofErr w:type="spellEnd"/>
      <w:r>
        <w:t xml:space="preserve"> de grant </w:t>
      </w:r>
      <w:proofErr w:type="spellStart"/>
      <w:proofErr w:type="gramStart"/>
      <w:r>
        <w:rPr>
          <w:b/>
        </w:rPr>
        <w:t>este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obligatoriu</w:t>
      </w:r>
      <w:proofErr w:type="spellEnd"/>
      <w:r>
        <w:rPr>
          <w:b/>
        </w:rPr>
        <w:t xml:space="preserve"> doctor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științe</w:t>
      </w:r>
      <w:proofErr w:type="spellEnd"/>
      <w:r>
        <w:rPr>
          <w:b/>
        </w:rPr>
        <w:t xml:space="preserve"> </w:t>
      </w:r>
      <w:proofErr w:type="spellStart"/>
      <w:r>
        <w:t>angajat</w:t>
      </w:r>
      <w:proofErr w:type="spellEnd"/>
      <w:r>
        <w:t xml:space="preserve"> 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UPG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depună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de GICS.  </w:t>
      </w:r>
    </w:p>
    <w:p w:rsidR="0045140F" w:rsidRDefault="0092626A">
      <w:pPr>
        <w:numPr>
          <w:ilvl w:val="0"/>
          <w:numId w:val="1"/>
        </w:numPr>
        <w:spacing w:after="41"/>
        <w:ind w:right="95" w:hanging="360"/>
      </w:pPr>
      <w:proofErr w:type="spellStart"/>
      <w:r>
        <w:t>În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GICS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</w:t>
      </w:r>
      <w:r>
        <w:rPr>
          <w:b/>
        </w:rPr>
        <w:t>minimum</w:t>
      </w:r>
      <w:r>
        <w:rPr>
          <w:b/>
        </w:rPr>
        <w:t xml:space="preserve"> 1 </w:t>
      </w:r>
      <w:proofErr w:type="spellStart"/>
      <w:r>
        <w:rPr>
          <w:b/>
        </w:rPr>
        <w:t>membru</w:t>
      </w:r>
      <w:proofErr w:type="spellEnd"/>
      <w:r>
        <w:t xml:space="preserve"> </w:t>
      </w:r>
      <w:r>
        <w:t xml:space="preserve">din </w:t>
      </w:r>
      <w:proofErr w:type="spellStart"/>
      <w:r>
        <w:t>categoria</w:t>
      </w:r>
      <w:proofErr w:type="spellEnd"/>
      <w:r>
        <w:t xml:space="preserve">: </w:t>
      </w:r>
      <w:proofErr w:type="spellStart"/>
      <w:r>
        <w:t>studenți</w:t>
      </w:r>
      <w:proofErr w:type="spellEnd"/>
      <w:r>
        <w:t xml:space="preserve">, </w:t>
      </w:r>
      <w:proofErr w:type="spellStart"/>
      <w:r>
        <w:t>masteranzi</w:t>
      </w:r>
      <w:proofErr w:type="spellEnd"/>
      <w:r>
        <w:t xml:space="preserve">, </w:t>
      </w:r>
      <w:proofErr w:type="spellStart"/>
      <w:r>
        <w:t>doctoranzi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didactic </w:t>
      </w:r>
      <w:proofErr w:type="spellStart"/>
      <w:r>
        <w:t>auxiliar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.  </w:t>
      </w:r>
    </w:p>
    <w:p w:rsidR="0045140F" w:rsidRDefault="0092626A">
      <w:pPr>
        <w:ind w:left="1014" w:right="95"/>
      </w:pPr>
      <w:proofErr w:type="spellStart"/>
      <w:r>
        <w:t>Toate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eligibilitate</w:t>
      </w:r>
      <w:proofErr w:type="spellEnd"/>
      <w:r>
        <w:t xml:space="preserve"> au c</w:t>
      </w:r>
      <w:r>
        <w:t>a</w:t>
      </w:r>
      <w:bookmarkStart w:id="0" w:name="_GoBack"/>
      <w:bookmarkEnd w:id="0"/>
      <w:r>
        <w:t xml:space="preserve">racter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45140F">
      <w:pgSz w:w="12240" w:h="15840"/>
      <w:pgMar w:top="1440" w:right="1437" w:bottom="1440" w:left="11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946A6"/>
    <w:multiLevelType w:val="hybridMultilevel"/>
    <w:tmpl w:val="16785022"/>
    <w:lvl w:ilvl="0" w:tplc="BA90B91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A5F54">
      <w:start w:val="1"/>
      <w:numFmt w:val="bullet"/>
      <w:lvlText w:val="o"/>
      <w:lvlJc w:val="left"/>
      <w:pPr>
        <w:ind w:left="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688C6">
      <w:start w:val="1"/>
      <w:numFmt w:val="bullet"/>
      <w:lvlRestart w:val="0"/>
      <w:lvlText w:val=""/>
      <w:lvlJc w:val="left"/>
      <w:pPr>
        <w:ind w:left="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E16F6">
      <w:start w:val="1"/>
      <w:numFmt w:val="bullet"/>
      <w:lvlText w:val="•"/>
      <w:lvlJc w:val="left"/>
      <w:pPr>
        <w:ind w:left="1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2628C">
      <w:start w:val="1"/>
      <w:numFmt w:val="bullet"/>
      <w:lvlText w:val="o"/>
      <w:lvlJc w:val="left"/>
      <w:pPr>
        <w:ind w:left="2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E7CB8">
      <w:start w:val="1"/>
      <w:numFmt w:val="bullet"/>
      <w:lvlText w:val="▪"/>
      <w:lvlJc w:val="left"/>
      <w:pPr>
        <w:ind w:left="3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81514">
      <w:start w:val="1"/>
      <w:numFmt w:val="bullet"/>
      <w:lvlText w:val="•"/>
      <w:lvlJc w:val="left"/>
      <w:pPr>
        <w:ind w:left="3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80E78">
      <w:start w:val="1"/>
      <w:numFmt w:val="bullet"/>
      <w:lvlText w:val="o"/>
      <w:lvlJc w:val="left"/>
      <w:pPr>
        <w:ind w:left="4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CC608">
      <w:start w:val="1"/>
      <w:numFmt w:val="bullet"/>
      <w:lvlText w:val="▪"/>
      <w:lvlJc w:val="left"/>
      <w:pPr>
        <w:ind w:left="5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20816"/>
    <w:multiLevelType w:val="hybridMultilevel"/>
    <w:tmpl w:val="CA5A9A08"/>
    <w:lvl w:ilvl="0" w:tplc="8B0AAA5A">
      <w:start w:val="1"/>
      <w:numFmt w:val="bullet"/>
      <w:lvlText w:val="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EF364">
      <w:start w:val="2"/>
      <w:numFmt w:val="decimal"/>
      <w:lvlRestart w:val="0"/>
      <w:lvlText w:val="%2."/>
      <w:lvlJc w:val="left"/>
      <w:pPr>
        <w:ind w:left="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2E7A8">
      <w:start w:val="1"/>
      <w:numFmt w:val="lowerRoman"/>
      <w:lvlText w:val="%3"/>
      <w:lvlJc w:val="left"/>
      <w:pPr>
        <w:ind w:left="1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EC974">
      <w:start w:val="1"/>
      <w:numFmt w:val="decimal"/>
      <w:lvlText w:val="%4"/>
      <w:lvlJc w:val="left"/>
      <w:pPr>
        <w:ind w:left="2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F8DC">
      <w:start w:val="1"/>
      <w:numFmt w:val="lowerLetter"/>
      <w:lvlText w:val="%5"/>
      <w:lvlJc w:val="left"/>
      <w:pPr>
        <w:ind w:left="2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0DBB6">
      <w:start w:val="1"/>
      <w:numFmt w:val="lowerRoman"/>
      <w:lvlText w:val="%6"/>
      <w:lvlJc w:val="left"/>
      <w:pPr>
        <w:ind w:left="3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41B82">
      <w:start w:val="1"/>
      <w:numFmt w:val="decimal"/>
      <w:lvlText w:val="%7"/>
      <w:lvlJc w:val="left"/>
      <w:pPr>
        <w:ind w:left="4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EA444">
      <w:start w:val="1"/>
      <w:numFmt w:val="lowerLetter"/>
      <w:lvlText w:val="%8"/>
      <w:lvlJc w:val="left"/>
      <w:pPr>
        <w:ind w:left="5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AE3CAA">
      <w:start w:val="1"/>
      <w:numFmt w:val="lowerRoman"/>
      <w:lvlText w:val="%9"/>
      <w:lvlJc w:val="left"/>
      <w:pPr>
        <w:ind w:left="5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0F"/>
    <w:rsid w:val="0045140F"/>
    <w:rsid w:val="0092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5A90"/>
  <w15:docId w15:val="{40BD87D1-27BF-458A-AC74-7B5D07E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69" w:lineRule="auto"/>
      <w:ind w:left="3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2026-06-09T17:05:00Z</dcterms:created>
  <dcterms:modified xsi:type="dcterms:W3CDTF">2026-06-09T17:05:00Z</dcterms:modified>
</cp:coreProperties>
</file>